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032"/>
      </w:tblGrid>
      <w:tr w:rsidR="00A47A51" w14:paraId="3413BBD4" w14:textId="77777777" w:rsidTr="00F34A3B">
        <w:trPr>
          <w:trHeight w:val="1698"/>
        </w:trPr>
        <w:tc>
          <w:tcPr>
            <w:tcW w:w="9032" w:type="dxa"/>
            <w:vMerge w:val="restart"/>
            <w:shd w:val="clear" w:color="auto" w:fill="auto"/>
            <w:tcMar>
              <w:top w:w="100" w:type="dxa"/>
              <w:left w:w="100" w:type="dxa"/>
              <w:bottom w:w="100" w:type="dxa"/>
              <w:right w:w="100" w:type="dxa"/>
            </w:tcMar>
          </w:tcPr>
          <w:p w14:paraId="66E5113D" w14:textId="60BB434A" w:rsidR="00A47A51" w:rsidRDefault="00F34A3B">
            <w:pPr>
              <w:spacing w:before="240" w:after="240"/>
              <w:rPr>
                <w:b/>
                <w:sz w:val="26"/>
                <w:szCs w:val="26"/>
              </w:rPr>
            </w:pPr>
            <w:r>
              <w:rPr>
                <w:noProof/>
              </w:rPr>
              <w:drawing>
                <wp:anchor distT="114300" distB="114300" distL="114300" distR="114300" simplePos="0" relativeHeight="251658240" behindDoc="1" locked="0" layoutInCell="1" hidden="0" allowOverlap="1" wp14:anchorId="2D300B87" wp14:editId="7D8FC422">
                  <wp:simplePos x="0" y="0"/>
                  <wp:positionH relativeFrom="column">
                    <wp:posOffset>4036060</wp:posOffset>
                  </wp:positionH>
                  <wp:positionV relativeFrom="paragraph">
                    <wp:posOffset>48895</wp:posOffset>
                  </wp:positionV>
                  <wp:extent cx="942340" cy="651510"/>
                  <wp:effectExtent l="0" t="0" r="0" b="0"/>
                  <wp:wrapTight wrapText="bothSides">
                    <wp:wrapPolygon edited="0">
                      <wp:start x="0" y="0"/>
                      <wp:lineTo x="0" y="20842"/>
                      <wp:lineTo x="20960" y="20842"/>
                      <wp:lineTo x="20960"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42340" cy="651510"/>
                          </a:xfrm>
                          <a:prstGeom prst="rect">
                            <a:avLst/>
                          </a:prstGeom>
                          <a:ln/>
                        </pic:spPr>
                      </pic:pic>
                    </a:graphicData>
                  </a:graphic>
                  <wp14:sizeRelH relativeFrom="margin">
                    <wp14:pctWidth>0</wp14:pctWidth>
                  </wp14:sizeRelH>
                  <wp14:sizeRelV relativeFrom="margin">
                    <wp14:pctHeight>0</wp14:pctHeight>
                  </wp14:sizeRelV>
                </wp:anchor>
              </w:drawing>
            </w:r>
            <w:r w:rsidR="00997E76">
              <w:rPr>
                <w:b/>
                <w:sz w:val="26"/>
                <w:szCs w:val="26"/>
              </w:rPr>
              <w:t xml:space="preserve">Inverkeithing Encore Harassment and Discrimination </w:t>
            </w:r>
          </w:p>
          <w:p w14:paraId="7CD33AA8" w14:textId="77777777" w:rsidR="00A47A51" w:rsidRDefault="00997E76">
            <w:pPr>
              <w:spacing w:before="240" w:after="240"/>
            </w:pPr>
            <w:r>
              <w:rPr>
                <w:b/>
                <w:sz w:val="26"/>
                <w:szCs w:val="26"/>
              </w:rPr>
              <w:t>Policy</w:t>
            </w:r>
          </w:p>
          <w:p w14:paraId="4E7E35A4" w14:textId="77777777" w:rsidR="00A47A51" w:rsidRDefault="00997E76">
            <w:pPr>
              <w:spacing w:before="240" w:after="240"/>
            </w:pPr>
            <w:r>
              <w:t>Inverkeithing Encore is committed to providing a safe, inclusive, and respectful environment for all members, volunteers, and participants. This policy aims to prevent and address harassment and discrimination within the organisation, ensuring that everyone is treated with dignity and respect.</w:t>
            </w:r>
          </w:p>
          <w:p w14:paraId="5ADCC319" w14:textId="77777777" w:rsidR="00A47A51" w:rsidRDefault="00997E76">
            <w:pPr>
              <w:spacing w:before="240" w:after="240"/>
              <w:rPr>
                <w:b/>
              </w:rPr>
            </w:pPr>
            <w:r>
              <w:rPr>
                <w:b/>
              </w:rPr>
              <w:t>Scope:</w:t>
            </w:r>
          </w:p>
          <w:p w14:paraId="62356CD9" w14:textId="77777777" w:rsidR="00A47A51" w:rsidRDefault="00997E76">
            <w:pPr>
              <w:spacing w:before="240" w:after="240"/>
            </w:pPr>
            <w:r>
              <w:t>This policy applies to all members, volunteers, participants, and anyone involved in the activities of Inverkeithing Encore, including rehearsals, performances, meetings, and events.</w:t>
            </w:r>
          </w:p>
          <w:p w14:paraId="369DA7B6" w14:textId="77777777" w:rsidR="00A47A51" w:rsidRDefault="00997E76">
            <w:pPr>
              <w:spacing w:before="240" w:after="240"/>
              <w:rPr>
                <w:b/>
              </w:rPr>
            </w:pPr>
            <w:r>
              <w:rPr>
                <w:b/>
              </w:rPr>
              <w:t>Definitions:</w:t>
            </w:r>
          </w:p>
          <w:p w14:paraId="5937B3A7" w14:textId="77777777" w:rsidR="00A47A51" w:rsidRDefault="00997E76">
            <w:pPr>
              <w:numPr>
                <w:ilvl w:val="0"/>
                <w:numId w:val="1"/>
              </w:numPr>
              <w:spacing w:before="240"/>
            </w:pPr>
            <w:r>
              <w:rPr>
                <w:b/>
              </w:rPr>
              <w:t>Harassment</w:t>
            </w:r>
            <w:r>
              <w:t>: Unwanted conduct related to a relevant protected characteristic that has the purpose of effect of violating a person’s dignity or creating an intimidating, hostile, degrading, humiliating, or offensive environment. This includes, but is not limited to:</w:t>
            </w:r>
          </w:p>
          <w:p w14:paraId="48F3F2E5" w14:textId="77777777" w:rsidR="00A47A51" w:rsidRDefault="00997E76">
            <w:pPr>
              <w:numPr>
                <w:ilvl w:val="0"/>
                <w:numId w:val="2"/>
              </w:numPr>
            </w:pPr>
            <w:r>
              <w:t>Verbal harassment (e.g., jokes, insults, threats)</w:t>
            </w:r>
          </w:p>
          <w:p w14:paraId="51BA243D" w14:textId="77777777" w:rsidR="00A47A51" w:rsidRDefault="00997E76">
            <w:pPr>
              <w:numPr>
                <w:ilvl w:val="0"/>
                <w:numId w:val="2"/>
              </w:numPr>
            </w:pPr>
            <w:r>
              <w:t>Physical harassment (e.g., unwanted touching, assault)</w:t>
            </w:r>
          </w:p>
          <w:p w14:paraId="6D0D2B53" w14:textId="77777777" w:rsidR="00A47A51" w:rsidRDefault="00997E76">
            <w:pPr>
              <w:numPr>
                <w:ilvl w:val="0"/>
                <w:numId w:val="2"/>
              </w:numPr>
            </w:pPr>
            <w:r>
              <w:t>Visual harassment (e.g., displaying offensive images or gestures)</w:t>
            </w:r>
          </w:p>
          <w:p w14:paraId="2D43EFF6" w14:textId="77777777" w:rsidR="00A47A51" w:rsidRDefault="00997E76">
            <w:pPr>
              <w:numPr>
                <w:ilvl w:val="0"/>
                <w:numId w:val="2"/>
              </w:numPr>
              <w:spacing w:after="240"/>
            </w:pPr>
            <w:r>
              <w:t>Online harassment (e.g., cyberbullying, offensive emails, or messages)</w:t>
            </w:r>
          </w:p>
          <w:p w14:paraId="22597DEC" w14:textId="77777777" w:rsidR="00A47A51" w:rsidRDefault="00997E76">
            <w:pPr>
              <w:spacing w:before="240" w:after="240"/>
            </w:pPr>
            <w:r>
              <w:rPr>
                <w:b/>
              </w:rPr>
              <w:t>Discrimination</w:t>
            </w:r>
            <w:r>
              <w:t>: Treating someone unfavourably because of protected characteristic. Protected characteristics include age, disability, gender reassignment, marriage and civil partnership, pregnancy and maternity, race, religion or belief, sex, and sexual orientation.</w:t>
            </w:r>
          </w:p>
          <w:p w14:paraId="5E407A22" w14:textId="77777777" w:rsidR="00A47A51" w:rsidRDefault="00997E76">
            <w:pPr>
              <w:spacing w:before="240" w:after="240"/>
              <w:rPr>
                <w:b/>
              </w:rPr>
            </w:pPr>
            <w:r>
              <w:rPr>
                <w:b/>
              </w:rPr>
              <w:t>Policy:</w:t>
            </w:r>
          </w:p>
          <w:p w14:paraId="6A9A5B6B" w14:textId="548F60CD" w:rsidR="00A47A51" w:rsidRDefault="00997E76" w:rsidP="00C604CE">
            <w:pPr>
              <w:pStyle w:val="ListParagraph"/>
              <w:numPr>
                <w:ilvl w:val="0"/>
                <w:numId w:val="3"/>
              </w:numPr>
              <w:spacing w:before="240" w:after="240"/>
            </w:pPr>
            <w:r w:rsidRPr="00C604CE">
              <w:rPr>
                <w:b/>
                <w:bCs/>
              </w:rPr>
              <w:t>Zero Tolerance</w:t>
            </w:r>
            <w:r>
              <w:t>:</w:t>
            </w:r>
          </w:p>
          <w:p w14:paraId="4C1F7E74" w14:textId="223B9E3C" w:rsidR="00A47A51" w:rsidRDefault="00997E76" w:rsidP="00C604CE">
            <w:pPr>
              <w:pStyle w:val="ListParagraph"/>
              <w:numPr>
                <w:ilvl w:val="0"/>
                <w:numId w:val="4"/>
              </w:numPr>
              <w:spacing w:before="240" w:after="240"/>
            </w:pPr>
            <w:r>
              <w:t>Inverkeithing Encore has a zero-tolerance policy towards harassment and discrimination. Any form of</w:t>
            </w:r>
            <w:r w:rsidR="00C604CE">
              <w:t xml:space="preserve"> </w:t>
            </w:r>
            <w:r>
              <w:t>harassment or discrimination is unacceptable and will not be tolerated.</w:t>
            </w:r>
          </w:p>
          <w:p w14:paraId="6F42F76A" w14:textId="27CBC9F4" w:rsidR="00A47A51" w:rsidRPr="00C604CE" w:rsidRDefault="00997E76" w:rsidP="00C604CE">
            <w:pPr>
              <w:pStyle w:val="ListParagraph"/>
              <w:numPr>
                <w:ilvl w:val="0"/>
                <w:numId w:val="3"/>
              </w:numPr>
              <w:spacing w:before="240" w:after="240"/>
              <w:rPr>
                <w:b/>
                <w:bCs/>
              </w:rPr>
            </w:pPr>
            <w:r w:rsidRPr="00C604CE">
              <w:rPr>
                <w:b/>
                <w:bCs/>
              </w:rPr>
              <w:t>Reporting:</w:t>
            </w:r>
          </w:p>
          <w:p w14:paraId="01D32E45" w14:textId="77777777" w:rsidR="00C604CE" w:rsidRDefault="00997E76" w:rsidP="00C604CE">
            <w:pPr>
              <w:pStyle w:val="ListParagraph"/>
              <w:numPr>
                <w:ilvl w:val="0"/>
                <w:numId w:val="4"/>
              </w:numPr>
              <w:spacing w:before="240" w:after="240"/>
            </w:pPr>
            <w:r>
              <w:t>Individuals who believe they have been subjected to harassment or discrimination, or who have witnessed</w:t>
            </w:r>
            <w:r w:rsidR="00C604CE">
              <w:t xml:space="preserve"> </w:t>
            </w:r>
            <w:r>
              <w:t>such behaviour, are encouraged to report the incident as soon as possible.</w:t>
            </w:r>
          </w:p>
          <w:p w14:paraId="271AD05F" w14:textId="77777777" w:rsidR="00C604CE" w:rsidRDefault="00997E76" w:rsidP="00C604CE">
            <w:pPr>
              <w:pStyle w:val="ListParagraph"/>
              <w:numPr>
                <w:ilvl w:val="0"/>
                <w:numId w:val="4"/>
              </w:numPr>
              <w:spacing w:before="240" w:after="240"/>
            </w:pPr>
            <w:r>
              <w:t>Details on the reporting procedure are available within the welcome handbook.</w:t>
            </w:r>
          </w:p>
          <w:p w14:paraId="56D4E2DD" w14:textId="77777777" w:rsidR="00C604CE" w:rsidRDefault="00997E76" w:rsidP="00C604CE">
            <w:pPr>
              <w:pStyle w:val="ListParagraph"/>
              <w:numPr>
                <w:ilvl w:val="0"/>
                <w:numId w:val="4"/>
              </w:numPr>
              <w:spacing w:before="240" w:after="240"/>
            </w:pPr>
            <w:r>
              <w:t>Reports can be made directly to a board member or designated volunteer responsible for handling complaints.</w:t>
            </w:r>
          </w:p>
          <w:p w14:paraId="73854617" w14:textId="71CC9A62" w:rsidR="00C604CE" w:rsidRDefault="00997E76" w:rsidP="00C604CE">
            <w:pPr>
              <w:pStyle w:val="ListParagraph"/>
              <w:numPr>
                <w:ilvl w:val="0"/>
                <w:numId w:val="4"/>
              </w:numPr>
              <w:spacing w:before="240" w:after="240"/>
            </w:pPr>
            <w:r>
              <w:t>All reports will be taken seriously and treated with confidentiality to the extent possible.</w:t>
            </w:r>
          </w:p>
          <w:p w14:paraId="5E5D0411" w14:textId="77777777" w:rsidR="00C604CE" w:rsidRDefault="00C604CE" w:rsidP="00C604CE">
            <w:pPr>
              <w:spacing w:before="240" w:after="240"/>
            </w:pPr>
          </w:p>
          <w:p w14:paraId="45E07BA0" w14:textId="6D10D76A" w:rsidR="00A47A51" w:rsidRPr="00C604CE" w:rsidRDefault="00997E76" w:rsidP="00C604CE">
            <w:pPr>
              <w:pStyle w:val="ListParagraph"/>
              <w:numPr>
                <w:ilvl w:val="0"/>
                <w:numId w:val="3"/>
              </w:numPr>
              <w:spacing w:before="240" w:after="240"/>
              <w:rPr>
                <w:b/>
                <w:bCs/>
              </w:rPr>
            </w:pPr>
            <w:r w:rsidRPr="00C604CE">
              <w:rPr>
                <w:b/>
                <w:bCs/>
              </w:rPr>
              <w:t>Investigation</w:t>
            </w:r>
          </w:p>
          <w:p w14:paraId="29C3039A" w14:textId="77777777" w:rsidR="00C604CE" w:rsidRDefault="00997E76" w:rsidP="00C604CE">
            <w:pPr>
              <w:pStyle w:val="ListParagraph"/>
              <w:numPr>
                <w:ilvl w:val="0"/>
                <w:numId w:val="5"/>
              </w:numPr>
              <w:spacing w:before="240" w:after="240"/>
            </w:pPr>
            <w:r>
              <w:t>Upon receiving a report of harassment or discrimination, Inverkeithing Encore will promptly conduct a</w:t>
            </w:r>
            <w:r w:rsidR="00C604CE">
              <w:t xml:space="preserve"> </w:t>
            </w:r>
            <w:r>
              <w:t>thorough and impartial investigation.</w:t>
            </w:r>
          </w:p>
          <w:p w14:paraId="40BCBFAD" w14:textId="77777777" w:rsidR="00C604CE" w:rsidRDefault="00997E76" w:rsidP="00C604CE">
            <w:pPr>
              <w:pStyle w:val="ListParagraph"/>
              <w:numPr>
                <w:ilvl w:val="0"/>
                <w:numId w:val="5"/>
              </w:numPr>
              <w:spacing w:before="240" w:after="240"/>
            </w:pPr>
            <w:r>
              <w:t>The investigation will involve interview with the complainant, the accused, and any witnesses.</w:t>
            </w:r>
          </w:p>
          <w:p w14:paraId="1E4BF913" w14:textId="389E7AB1" w:rsidR="00A47A51" w:rsidRDefault="00997E76" w:rsidP="00C604CE">
            <w:pPr>
              <w:pStyle w:val="ListParagraph"/>
              <w:numPr>
                <w:ilvl w:val="0"/>
                <w:numId w:val="5"/>
              </w:numPr>
              <w:spacing w:before="240" w:after="240"/>
            </w:pPr>
            <w:r>
              <w:t>The findings of the investigation will be documented, and appropriate action will be taken based on the</w:t>
            </w:r>
            <w:r w:rsidR="00C604CE">
              <w:t xml:space="preserve"> </w:t>
            </w:r>
            <w:r>
              <w:t>evidence.</w:t>
            </w:r>
          </w:p>
          <w:p w14:paraId="639F1A67" w14:textId="3171901B" w:rsidR="00A47A51" w:rsidRPr="00C604CE" w:rsidRDefault="00997E76" w:rsidP="00C604CE">
            <w:pPr>
              <w:pStyle w:val="ListParagraph"/>
              <w:numPr>
                <w:ilvl w:val="0"/>
                <w:numId w:val="3"/>
              </w:numPr>
              <w:spacing w:before="240" w:after="240"/>
              <w:rPr>
                <w:b/>
                <w:bCs/>
              </w:rPr>
            </w:pPr>
            <w:r w:rsidRPr="00C604CE">
              <w:rPr>
                <w:b/>
                <w:bCs/>
              </w:rPr>
              <w:t>Action</w:t>
            </w:r>
          </w:p>
          <w:p w14:paraId="54A4DF2C" w14:textId="77777777" w:rsidR="00C604CE" w:rsidRDefault="00997E76" w:rsidP="00C604CE">
            <w:pPr>
              <w:pStyle w:val="ListParagraph"/>
              <w:numPr>
                <w:ilvl w:val="0"/>
                <w:numId w:val="6"/>
              </w:numPr>
              <w:spacing w:before="240" w:after="240"/>
            </w:pPr>
            <w:r>
              <w:t>If the investigation finds that harassment or discrimination has occurred, Inverkeithing Encore will take</w:t>
            </w:r>
            <w:r w:rsidR="00C604CE">
              <w:t xml:space="preserve"> </w:t>
            </w:r>
            <w:r>
              <w:t>immediate and appropriate corrective action.</w:t>
            </w:r>
          </w:p>
          <w:p w14:paraId="1CD57029" w14:textId="77777777" w:rsidR="00C604CE" w:rsidRDefault="00997E76" w:rsidP="00C604CE">
            <w:pPr>
              <w:pStyle w:val="ListParagraph"/>
              <w:numPr>
                <w:ilvl w:val="0"/>
                <w:numId w:val="6"/>
              </w:numPr>
              <w:spacing w:before="240" w:after="240"/>
            </w:pPr>
            <w:r>
              <w:t>Actions may include, but are not limited to, warnings, mandatory training, suspension, or termination of</w:t>
            </w:r>
            <w:r w:rsidR="00C604CE">
              <w:t xml:space="preserve"> </w:t>
            </w:r>
            <w:r>
              <w:t>membership.</w:t>
            </w:r>
          </w:p>
          <w:p w14:paraId="2FF38E2E" w14:textId="5B617969" w:rsidR="00A47A51" w:rsidRDefault="00997E76" w:rsidP="00C604CE">
            <w:pPr>
              <w:pStyle w:val="ListParagraph"/>
              <w:numPr>
                <w:ilvl w:val="0"/>
                <w:numId w:val="6"/>
              </w:numPr>
              <w:spacing w:before="240" w:after="240"/>
            </w:pPr>
            <w:r>
              <w:t>Retaliation against individuals who report harassment or discrimination or participate in an investigation is</w:t>
            </w:r>
            <w:r w:rsidR="00C604CE">
              <w:t xml:space="preserve"> </w:t>
            </w:r>
            <w:r>
              <w:t>strictly prohibited and will be subject to disciplinary action.</w:t>
            </w:r>
          </w:p>
          <w:p w14:paraId="2DA23F92" w14:textId="2621D4C7" w:rsidR="00A47A51" w:rsidRPr="00C604CE" w:rsidRDefault="00997E76" w:rsidP="00C604CE">
            <w:pPr>
              <w:pStyle w:val="ListParagraph"/>
              <w:numPr>
                <w:ilvl w:val="0"/>
                <w:numId w:val="3"/>
              </w:numPr>
              <w:spacing w:before="240" w:after="240"/>
              <w:rPr>
                <w:b/>
                <w:bCs/>
              </w:rPr>
            </w:pPr>
            <w:r w:rsidRPr="00C604CE">
              <w:rPr>
                <w:b/>
                <w:bCs/>
              </w:rPr>
              <w:t>Support</w:t>
            </w:r>
          </w:p>
          <w:p w14:paraId="07EE7264" w14:textId="77777777" w:rsidR="00C604CE" w:rsidRDefault="00997E76" w:rsidP="00C604CE">
            <w:pPr>
              <w:pStyle w:val="ListParagraph"/>
              <w:numPr>
                <w:ilvl w:val="0"/>
                <w:numId w:val="7"/>
              </w:numPr>
              <w:spacing w:before="240" w:after="240"/>
            </w:pPr>
            <w:r>
              <w:t>Inverkeithing Encore is committed to supporting individuals who have experienced harassment or</w:t>
            </w:r>
            <w:r w:rsidR="00C604CE">
              <w:t xml:space="preserve"> </w:t>
            </w:r>
            <w:r>
              <w:t>discrimination.</w:t>
            </w:r>
          </w:p>
          <w:p w14:paraId="0214817F" w14:textId="15C37F11" w:rsidR="00A47A51" w:rsidRDefault="00997E76" w:rsidP="00C604CE">
            <w:pPr>
              <w:pStyle w:val="ListParagraph"/>
              <w:numPr>
                <w:ilvl w:val="0"/>
                <w:numId w:val="7"/>
              </w:numPr>
              <w:spacing w:before="240" w:after="240"/>
            </w:pPr>
            <w:r>
              <w:t>Support may include counselling services, mediation, and other resources needed.</w:t>
            </w:r>
          </w:p>
          <w:p w14:paraId="67B899BC" w14:textId="364BA7F5" w:rsidR="00A47A51" w:rsidRPr="00C604CE" w:rsidRDefault="00997E76" w:rsidP="00C604CE">
            <w:pPr>
              <w:pStyle w:val="ListParagraph"/>
              <w:numPr>
                <w:ilvl w:val="0"/>
                <w:numId w:val="3"/>
              </w:numPr>
              <w:spacing w:before="240" w:after="240"/>
              <w:rPr>
                <w:b/>
                <w:bCs/>
              </w:rPr>
            </w:pPr>
            <w:r w:rsidRPr="00C604CE">
              <w:rPr>
                <w:b/>
                <w:bCs/>
              </w:rPr>
              <w:t>Awareness</w:t>
            </w:r>
          </w:p>
          <w:p w14:paraId="72B39481" w14:textId="1B4F96A2" w:rsidR="00A47A51" w:rsidRDefault="00997E76" w:rsidP="00C604CE">
            <w:pPr>
              <w:pStyle w:val="ListParagraph"/>
              <w:numPr>
                <w:ilvl w:val="0"/>
                <w:numId w:val="8"/>
              </w:numPr>
              <w:spacing w:before="240" w:after="240"/>
            </w:pPr>
            <w:r>
              <w:t>Inverkeithing Encore will provide regular awareness programs for all members, volunteers, and participants</w:t>
            </w:r>
            <w:r w:rsidR="00C604CE">
              <w:t xml:space="preserve"> </w:t>
            </w:r>
            <w:r>
              <w:t>to promote understanding of harassment and discrimination and to ensure compliance to this policy.</w:t>
            </w:r>
          </w:p>
          <w:p w14:paraId="6E550A01" w14:textId="77777777" w:rsidR="00A47A51" w:rsidRPr="00C604CE" w:rsidRDefault="00997E76">
            <w:pPr>
              <w:spacing w:before="240" w:after="240"/>
              <w:rPr>
                <w:b/>
                <w:bCs/>
              </w:rPr>
            </w:pPr>
            <w:r w:rsidRPr="00C604CE">
              <w:rPr>
                <w:b/>
                <w:bCs/>
              </w:rPr>
              <w:t>Review:</w:t>
            </w:r>
          </w:p>
          <w:p w14:paraId="3D926404" w14:textId="147CC20F" w:rsidR="00A47A51" w:rsidRDefault="00997E76" w:rsidP="00C604CE">
            <w:pPr>
              <w:spacing w:before="240" w:after="240"/>
            </w:pPr>
            <w:r>
              <w:t>This policy will be review annually by the board to ensure its effectiveness and compliance with current laws and best</w:t>
            </w:r>
            <w:r w:rsidR="00C604CE">
              <w:t xml:space="preserve"> </w:t>
            </w:r>
            <w:r>
              <w:t>practices.</w:t>
            </w:r>
          </w:p>
        </w:tc>
      </w:tr>
      <w:tr w:rsidR="00A47A51" w14:paraId="135E1C7E" w14:textId="77777777" w:rsidTr="00F34A3B">
        <w:trPr>
          <w:trHeight w:val="420"/>
        </w:trPr>
        <w:tc>
          <w:tcPr>
            <w:tcW w:w="9032" w:type="dxa"/>
            <w:vMerge/>
            <w:shd w:val="clear" w:color="auto" w:fill="auto"/>
            <w:tcMar>
              <w:top w:w="100" w:type="dxa"/>
              <w:left w:w="100" w:type="dxa"/>
              <w:bottom w:w="100" w:type="dxa"/>
              <w:right w:w="100" w:type="dxa"/>
            </w:tcMar>
          </w:tcPr>
          <w:p w14:paraId="74198DB4" w14:textId="77777777" w:rsidR="00A47A51" w:rsidRDefault="00A47A51">
            <w:pPr>
              <w:spacing w:line="240" w:lineRule="auto"/>
            </w:pPr>
          </w:p>
        </w:tc>
      </w:tr>
      <w:tr w:rsidR="00A47A51" w14:paraId="3A687879" w14:textId="77777777" w:rsidTr="00F34A3B">
        <w:trPr>
          <w:trHeight w:val="420"/>
        </w:trPr>
        <w:tc>
          <w:tcPr>
            <w:tcW w:w="9032" w:type="dxa"/>
            <w:vMerge/>
            <w:shd w:val="clear" w:color="auto" w:fill="auto"/>
            <w:tcMar>
              <w:top w:w="100" w:type="dxa"/>
              <w:left w:w="100" w:type="dxa"/>
              <w:bottom w:w="100" w:type="dxa"/>
              <w:right w:w="100" w:type="dxa"/>
            </w:tcMar>
          </w:tcPr>
          <w:p w14:paraId="1C77C90B" w14:textId="77777777" w:rsidR="00A47A51" w:rsidRDefault="00A47A51">
            <w:pPr>
              <w:spacing w:line="240" w:lineRule="auto"/>
            </w:pPr>
          </w:p>
        </w:tc>
      </w:tr>
      <w:tr w:rsidR="00A47A51" w14:paraId="123E96F1" w14:textId="77777777" w:rsidTr="00F34A3B">
        <w:trPr>
          <w:trHeight w:val="420"/>
        </w:trPr>
        <w:tc>
          <w:tcPr>
            <w:tcW w:w="9032" w:type="dxa"/>
            <w:vMerge/>
            <w:shd w:val="clear" w:color="auto" w:fill="auto"/>
            <w:tcMar>
              <w:top w:w="100" w:type="dxa"/>
              <w:left w:w="100" w:type="dxa"/>
              <w:bottom w:w="100" w:type="dxa"/>
              <w:right w:w="100" w:type="dxa"/>
            </w:tcMar>
          </w:tcPr>
          <w:p w14:paraId="54E28CC0" w14:textId="77777777" w:rsidR="00A47A51" w:rsidRDefault="00A47A51">
            <w:pPr>
              <w:spacing w:line="240" w:lineRule="auto"/>
            </w:pPr>
          </w:p>
        </w:tc>
      </w:tr>
    </w:tbl>
    <w:p w14:paraId="06315254" w14:textId="77777777" w:rsidR="00A47A51" w:rsidRDefault="00A47A51"/>
    <w:sectPr w:rsidR="00A47A51">
      <w:headerReference w:type="even" r:id="rId8"/>
      <w:headerReference w:type="default" r:id="rId9"/>
      <w:headerReference w:type="firs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DB5E" w14:textId="77777777" w:rsidR="00997E76" w:rsidRDefault="00997E76">
      <w:pPr>
        <w:spacing w:line="240" w:lineRule="auto"/>
      </w:pPr>
      <w:r>
        <w:separator/>
      </w:r>
    </w:p>
  </w:endnote>
  <w:endnote w:type="continuationSeparator" w:id="0">
    <w:p w14:paraId="51BDEC42" w14:textId="77777777" w:rsidR="00997E76" w:rsidRDefault="00997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A8A6" w14:textId="77777777" w:rsidR="00997E76" w:rsidRDefault="00997E76">
      <w:pPr>
        <w:spacing w:line="240" w:lineRule="auto"/>
      </w:pPr>
      <w:r>
        <w:separator/>
      </w:r>
    </w:p>
  </w:footnote>
  <w:footnote w:type="continuationSeparator" w:id="0">
    <w:p w14:paraId="210D8DBB" w14:textId="77777777" w:rsidR="00997E76" w:rsidRDefault="00997E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EFF9" w14:textId="0404E2F3" w:rsidR="00C604CE" w:rsidRDefault="00C604CE">
    <w:pPr>
      <w:pStyle w:val="Header"/>
    </w:pPr>
    <w:r>
      <w:rPr>
        <w:noProof/>
      </w:rPr>
      <mc:AlternateContent>
        <mc:Choice Requires="wps">
          <w:drawing>
            <wp:anchor distT="0" distB="0" distL="0" distR="0" simplePos="0" relativeHeight="251659264" behindDoc="0" locked="0" layoutInCell="1" allowOverlap="1" wp14:anchorId="4A834251" wp14:editId="29DA0245">
              <wp:simplePos x="635" y="635"/>
              <wp:positionH relativeFrom="page">
                <wp:align>center</wp:align>
              </wp:positionH>
              <wp:positionV relativeFrom="page">
                <wp:align>top</wp:align>
              </wp:positionV>
              <wp:extent cx="459740" cy="368935"/>
              <wp:effectExtent l="0" t="0" r="16510" b="12065"/>
              <wp:wrapNone/>
              <wp:docPr id="4701778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F6746F6" w14:textId="581A194B"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34251"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fill o:detectmouseclick="t"/>
              <v:textbox style="mso-fit-shape-to-text:t" inset="0,15pt,0,0">
                <w:txbxContent>
                  <w:p w14:paraId="1F6746F6" w14:textId="581A194B"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FBA1" w14:textId="2F67AEB7" w:rsidR="00A47A51" w:rsidRDefault="00C604CE">
    <w:r>
      <w:rPr>
        <w:noProof/>
      </w:rPr>
      <mc:AlternateContent>
        <mc:Choice Requires="wps">
          <w:drawing>
            <wp:anchor distT="0" distB="0" distL="0" distR="0" simplePos="0" relativeHeight="251660288" behindDoc="0" locked="0" layoutInCell="1" allowOverlap="1" wp14:anchorId="37A67846" wp14:editId="61C95823">
              <wp:simplePos x="914400" y="457200"/>
              <wp:positionH relativeFrom="page">
                <wp:align>center</wp:align>
              </wp:positionH>
              <wp:positionV relativeFrom="page">
                <wp:align>top</wp:align>
              </wp:positionV>
              <wp:extent cx="459740" cy="368935"/>
              <wp:effectExtent l="0" t="0" r="16510" b="12065"/>
              <wp:wrapNone/>
              <wp:docPr id="12609504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B0ACE41" w14:textId="08975DB9"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67846"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BNrfQJDgIAABwE&#10;AAAOAAAAAAAAAAAAAAAAAC4CAABkcnMvZTJvRG9jLnhtbFBLAQItABQABgAIAAAAIQCRKuzx2gAA&#10;AAMBAAAPAAAAAAAAAAAAAAAAAGgEAABkcnMvZG93bnJldi54bWxQSwUGAAAAAAQABADzAAAAbwUA&#10;AAAA&#10;" filled="f" stroked="f">
              <v:fill o:detectmouseclick="t"/>
              <v:textbox style="mso-fit-shape-to-text:t" inset="0,15pt,0,0">
                <w:txbxContent>
                  <w:p w14:paraId="1B0ACE41" w14:textId="08975DB9"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r w:rsidR="00997E76">
      <w:t>Inverkeithing Encore (SC054161) Harassment and Discrimination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347D" w14:textId="1C307826" w:rsidR="00C604CE" w:rsidRDefault="00C604CE">
    <w:pPr>
      <w:pStyle w:val="Header"/>
    </w:pPr>
    <w:r>
      <w:rPr>
        <w:noProof/>
      </w:rPr>
      <mc:AlternateContent>
        <mc:Choice Requires="wps">
          <w:drawing>
            <wp:anchor distT="0" distB="0" distL="0" distR="0" simplePos="0" relativeHeight="251658240" behindDoc="0" locked="0" layoutInCell="1" allowOverlap="1" wp14:anchorId="0A7E1077" wp14:editId="5320D738">
              <wp:simplePos x="635" y="635"/>
              <wp:positionH relativeFrom="page">
                <wp:align>center</wp:align>
              </wp:positionH>
              <wp:positionV relativeFrom="page">
                <wp:align>top</wp:align>
              </wp:positionV>
              <wp:extent cx="459740" cy="368935"/>
              <wp:effectExtent l="0" t="0" r="16510" b="12065"/>
              <wp:wrapNone/>
              <wp:docPr id="4638216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72BA1EA" w14:textId="0FEF6CF2"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E1077"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fill o:detectmouseclick="t"/>
              <v:textbox style="mso-fit-shape-to-text:t" inset="0,15pt,0,0">
                <w:txbxContent>
                  <w:p w14:paraId="672BA1EA" w14:textId="0FEF6CF2"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633E"/>
    <w:multiLevelType w:val="multilevel"/>
    <w:tmpl w:val="3B827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8064B1"/>
    <w:multiLevelType w:val="multilevel"/>
    <w:tmpl w:val="3B827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C653A0"/>
    <w:multiLevelType w:val="hybridMultilevel"/>
    <w:tmpl w:val="B8C26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371F62"/>
    <w:multiLevelType w:val="hybridMultilevel"/>
    <w:tmpl w:val="73C82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1F59AA"/>
    <w:multiLevelType w:val="multilevel"/>
    <w:tmpl w:val="0EE832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345184B"/>
    <w:multiLevelType w:val="hybridMultilevel"/>
    <w:tmpl w:val="50121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5D2465"/>
    <w:multiLevelType w:val="hybridMultilevel"/>
    <w:tmpl w:val="5920A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884158"/>
    <w:multiLevelType w:val="hybridMultilevel"/>
    <w:tmpl w:val="3CBAF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93789505">
    <w:abstractNumId w:val="1"/>
  </w:num>
  <w:num w:numId="2" w16cid:durableId="1474374657">
    <w:abstractNumId w:val="4"/>
  </w:num>
  <w:num w:numId="3" w16cid:durableId="326248927">
    <w:abstractNumId w:val="0"/>
  </w:num>
  <w:num w:numId="4" w16cid:durableId="1338801516">
    <w:abstractNumId w:val="6"/>
  </w:num>
  <w:num w:numId="5" w16cid:durableId="821194677">
    <w:abstractNumId w:val="2"/>
  </w:num>
  <w:num w:numId="6" w16cid:durableId="298998043">
    <w:abstractNumId w:val="3"/>
  </w:num>
  <w:num w:numId="7" w16cid:durableId="1383865231">
    <w:abstractNumId w:val="5"/>
  </w:num>
  <w:num w:numId="8" w16cid:durableId="1708218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1"/>
    <w:rsid w:val="0060532E"/>
    <w:rsid w:val="00886C8F"/>
    <w:rsid w:val="00997E76"/>
    <w:rsid w:val="00A47A51"/>
    <w:rsid w:val="00C604CE"/>
    <w:rsid w:val="00F34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62F2"/>
  <w15:docId w15:val="{F5457171-93A6-40DD-B1AF-C173438A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604CE"/>
    <w:pPr>
      <w:ind w:left="720"/>
      <w:contextualSpacing/>
    </w:pPr>
  </w:style>
  <w:style w:type="paragraph" w:styleId="Header">
    <w:name w:val="header"/>
    <w:basedOn w:val="Normal"/>
    <w:link w:val="HeaderChar"/>
    <w:uiPriority w:val="99"/>
    <w:unhideWhenUsed/>
    <w:rsid w:val="00C604CE"/>
    <w:pPr>
      <w:tabs>
        <w:tab w:val="center" w:pos="4513"/>
        <w:tab w:val="right" w:pos="9026"/>
      </w:tabs>
      <w:spacing w:line="240" w:lineRule="auto"/>
    </w:pPr>
  </w:style>
  <w:style w:type="character" w:customStyle="1" w:styleId="HeaderChar">
    <w:name w:val="Header Char"/>
    <w:basedOn w:val="DefaultParagraphFont"/>
    <w:link w:val="Header"/>
    <w:uiPriority w:val="99"/>
    <w:rsid w:val="00C60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Dolan</dc:creator>
  <cp:lastModifiedBy>Paula Dolan</cp:lastModifiedBy>
  <cp:revision>4</cp:revision>
  <dcterms:created xsi:type="dcterms:W3CDTF">2025-04-28T07:57:00Z</dcterms:created>
  <dcterms:modified xsi:type="dcterms:W3CDTF">2025-04-28T08:24:00Z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1ba55b53,1c06580b,4b2893e1</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2025-04-28T07:57:35Z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c0e89d93-4f03-4d80-a87a-7fad450bea47</vt:lpwstr>
  </property>
  <property fmtid="{D5CDD505-2E9C-101B-9397-08002B2CF9AE}" pid="11" name="MSIP_Label_8577031b-11bc-4db9-b655-7d79027ad570_ContentBits">
    <vt:lpwstr>1</vt:lpwstr>
  </property>
  <property fmtid="{D5CDD505-2E9C-101B-9397-08002B2CF9AE}" pid="12" name="MSIP_Label_8577031b-11bc-4db9-b655-7d79027ad570_Tag">
    <vt:lpwstr>10, 3, 0, 1</vt:lpwstr>
  </property>
</Properties>
</file>