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65"/>
      </w:tblGrid>
      <w:tr w:rsidR="00A47A51" w14:paraId="3413BBD4" w14:textId="77777777" w:rsidTr="00824D30">
        <w:trPr>
          <w:trHeight w:val="1698"/>
        </w:trPr>
        <w:tc>
          <w:tcPr>
            <w:tcW w:w="10065" w:type="dxa"/>
            <w:vMerge w:val="restart"/>
            <w:shd w:val="clear" w:color="auto" w:fill="auto"/>
            <w:tcMar>
              <w:top w:w="100" w:type="dxa"/>
              <w:left w:w="100" w:type="dxa"/>
              <w:bottom w:w="100" w:type="dxa"/>
              <w:right w:w="100" w:type="dxa"/>
            </w:tcMar>
          </w:tcPr>
          <w:p w14:paraId="7CD33AA8" w14:textId="33F94F71" w:rsidR="00A47A51" w:rsidRDefault="00020CCE">
            <w:pPr>
              <w:spacing w:before="240" w:after="240"/>
            </w:pPr>
            <w:r>
              <w:rPr>
                <w:noProof/>
              </w:rPr>
              <w:drawing>
                <wp:anchor distT="114300" distB="114300" distL="114300" distR="114300" simplePos="0" relativeHeight="251658240" behindDoc="1" locked="0" layoutInCell="1" hidden="0" allowOverlap="1" wp14:anchorId="2D300B87" wp14:editId="5BA1521F">
                  <wp:simplePos x="0" y="0"/>
                  <wp:positionH relativeFrom="column">
                    <wp:posOffset>4884448</wp:posOffset>
                  </wp:positionH>
                  <wp:positionV relativeFrom="paragraph">
                    <wp:posOffset>110</wp:posOffset>
                  </wp:positionV>
                  <wp:extent cx="1141809" cy="752841"/>
                  <wp:effectExtent l="0" t="0" r="1270" b="9525"/>
                  <wp:wrapTight wrapText="bothSides">
                    <wp:wrapPolygon edited="0">
                      <wp:start x="0" y="0"/>
                      <wp:lineTo x="0" y="21327"/>
                      <wp:lineTo x="21264" y="21327"/>
                      <wp:lineTo x="21264"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41809" cy="752841"/>
                          </a:xfrm>
                          <a:prstGeom prst="rect">
                            <a:avLst/>
                          </a:prstGeom>
                          <a:ln/>
                        </pic:spPr>
                      </pic:pic>
                    </a:graphicData>
                  </a:graphic>
                </wp:anchor>
              </w:drawing>
            </w:r>
            <w:r w:rsidR="00997E76">
              <w:rPr>
                <w:b/>
                <w:sz w:val="26"/>
                <w:szCs w:val="26"/>
              </w:rPr>
              <w:t xml:space="preserve">Inverkeithing Encore </w:t>
            </w:r>
            <w:r>
              <w:rPr>
                <w:b/>
                <w:sz w:val="26"/>
                <w:szCs w:val="26"/>
              </w:rPr>
              <w:t xml:space="preserve">Financial </w:t>
            </w:r>
            <w:r w:rsidR="00997E76">
              <w:rPr>
                <w:b/>
                <w:sz w:val="26"/>
                <w:szCs w:val="26"/>
              </w:rPr>
              <w:t>Policy</w:t>
            </w:r>
          </w:p>
          <w:p w14:paraId="4CA7E382" w14:textId="77777777" w:rsidR="00310992" w:rsidRDefault="00310992">
            <w:pPr>
              <w:spacing w:before="240" w:after="240"/>
            </w:pPr>
            <w:r w:rsidRPr="00310992">
              <w:t>The purpose of this Financial Policy is to ensure the financial integrity and accountability of Inverkeithing Encore.  This policy provides guidelines for managing the organisations finances, including budgeting, financial reporting, handling funds, and conducting audits.</w:t>
            </w:r>
          </w:p>
          <w:p w14:paraId="5ADCC319" w14:textId="01BD0CFC" w:rsidR="00A47A51" w:rsidRDefault="00997E76">
            <w:pPr>
              <w:spacing w:before="240" w:after="240"/>
              <w:rPr>
                <w:b/>
              </w:rPr>
            </w:pPr>
            <w:r>
              <w:rPr>
                <w:b/>
              </w:rPr>
              <w:t>Scope:</w:t>
            </w:r>
          </w:p>
          <w:p w14:paraId="549F6F64" w14:textId="77777777" w:rsidR="009A5337" w:rsidRPr="009A5337" w:rsidRDefault="009A5337" w:rsidP="009A5337">
            <w:r w:rsidRPr="009A5337">
              <w:t>This policy applies to all board members, volunteers, and participants in the financial management of Inverkeithing Encore.</w:t>
            </w:r>
          </w:p>
          <w:p w14:paraId="369DA7B6" w14:textId="092C9D37" w:rsidR="00A47A51" w:rsidRDefault="009A5337">
            <w:pPr>
              <w:spacing w:before="240" w:after="240"/>
              <w:rPr>
                <w:b/>
              </w:rPr>
            </w:pPr>
            <w:r>
              <w:rPr>
                <w:b/>
              </w:rPr>
              <w:t>Policy</w:t>
            </w:r>
            <w:r w:rsidR="00997E76">
              <w:rPr>
                <w:b/>
              </w:rPr>
              <w:t>:</w:t>
            </w:r>
          </w:p>
          <w:p w14:paraId="3AC4FA67" w14:textId="77777777" w:rsidR="009A5337" w:rsidRDefault="009A5337" w:rsidP="006F29DE">
            <w:pPr>
              <w:numPr>
                <w:ilvl w:val="0"/>
                <w:numId w:val="1"/>
              </w:numPr>
              <w:spacing w:before="240"/>
            </w:pPr>
            <w:r>
              <w:rPr>
                <w:b/>
              </w:rPr>
              <w:t>Budgeting</w:t>
            </w:r>
            <w:r w:rsidR="00997E76">
              <w:t xml:space="preserve">: </w:t>
            </w:r>
          </w:p>
          <w:p w14:paraId="22597DEC" w14:textId="4E434FC6" w:rsidR="00A47A51" w:rsidRDefault="009A5337" w:rsidP="006F29DE">
            <w:pPr>
              <w:pStyle w:val="ListParagraph"/>
              <w:numPr>
                <w:ilvl w:val="0"/>
                <w:numId w:val="17"/>
              </w:numPr>
              <w:spacing w:before="240"/>
            </w:pPr>
            <w:r w:rsidRPr="006F29DE">
              <w:rPr>
                <w:b/>
              </w:rPr>
              <w:t>Annual Budget</w:t>
            </w:r>
            <w:r w:rsidR="00997E76">
              <w:t xml:space="preserve">: </w:t>
            </w:r>
            <w:r>
              <w:t>The Treasurer, in collaboration with the board, shall prepare an annual budget for approval by the board of directors.  The budget shall outline projected income and expenses for the upcoming fiscal year.</w:t>
            </w:r>
          </w:p>
          <w:p w14:paraId="61412FCF" w14:textId="1359D633" w:rsidR="009A5337" w:rsidRDefault="009A5337" w:rsidP="006F29DE">
            <w:pPr>
              <w:pStyle w:val="ListParagraph"/>
              <w:numPr>
                <w:ilvl w:val="0"/>
                <w:numId w:val="17"/>
              </w:numPr>
              <w:spacing w:before="240"/>
            </w:pPr>
            <w:r w:rsidRPr="006F29DE">
              <w:rPr>
                <w:b/>
              </w:rPr>
              <w:t>Approval</w:t>
            </w:r>
            <w:r w:rsidRPr="009A5337">
              <w:t>:</w:t>
            </w:r>
            <w:r>
              <w:t xml:space="preserve">  The annual budget must be approved by a majority vote of the board of directors before the start of the fiscal year.</w:t>
            </w:r>
          </w:p>
          <w:p w14:paraId="2580B09B" w14:textId="42D5DEEC" w:rsidR="009A5337" w:rsidRDefault="009A5337" w:rsidP="006F29DE">
            <w:pPr>
              <w:pStyle w:val="ListParagraph"/>
              <w:numPr>
                <w:ilvl w:val="0"/>
                <w:numId w:val="17"/>
              </w:numPr>
              <w:spacing w:before="240"/>
            </w:pPr>
            <w:r w:rsidRPr="006F29DE">
              <w:rPr>
                <w:b/>
              </w:rPr>
              <w:t>Monitoring</w:t>
            </w:r>
            <w:r w:rsidRPr="009A5337">
              <w:t>:</w:t>
            </w:r>
            <w:r>
              <w:t xml:space="preserve">  The Treasurer shall monitor actual income and expenses against the budget and report any significant variances of the board on a quarterly basis.</w:t>
            </w:r>
          </w:p>
          <w:p w14:paraId="35F1812C" w14:textId="77777777" w:rsidR="009A5337" w:rsidRPr="009A5337" w:rsidRDefault="009A5337" w:rsidP="009A5337">
            <w:pPr>
              <w:spacing w:line="240" w:lineRule="auto"/>
              <w:rPr>
                <w:sz w:val="4"/>
                <w:szCs w:val="4"/>
              </w:rPr>
            </w:pPr>
          </w:p>
          <w:p w14:paraId="2648AF11" w14:textId="2C94533B" w:rsidR="009A5337" w:rsidRDefault="009A5337" w:rsidP="006F29DE">
            <w:pPr>
              <w:pStyle w:val="ListParagraph"/>
              <w:numPr>
                <w:ilvl w:val="0"/>
                <w:numId w:val="1"/>
              </w:numPr>
              <w:spacing w:before="240"/>
              <w:rPr>
                <w:b/>
                <w:bCs/>
              </w:rPr>
            </w:pPr>
            <w:r w:rsidRPr="009A5337">
              <w:rPr>
                <w:b/>
                <w:bCs/>
              </w:rPr>
              <w:t>Financial Reporting:</w:t>
            </w:r>
          </w:p>
          <w:p w14:paraId="4AE07F50" w14:textId="20FF3CC2" w:rsidR="009A5337" w:rsidRPr="006F29DE" w:rsidRDefault="00275555" w:rsidP="006F29DE">
            <w:pPr>
              <w:pStyle w:val="ListParagraph"/>
              <w:numPr>
                <w:ilvl w:val="0"/>
                <w:numId w:val="16"/>
              </w:numPr>
              <w:spacing w:before="240"/>
              <w:rPr>
                <w:b/>
                <w:bCs/>
              </w:rPr>
            </w:pPr>
            <w:r w:rsidRPr="006F29DE">
              <w:rPr>
                <w:b/>
                <w:bCs/>
              </w:rPr>
              <w:t xml:space="preserve">Monthly Reports:  </w:t>
            </w:r>
            <w:r>
              <w:t>The Treasurer shall prepare monthly financial reports, including balance sheet and income statement, for review by the board of directors.</w:t>
            </w:r>
          </w:p>
          <w:p w14:paraId="494B03EE" w14:textId="724105A0" w:rsidR="00275555" w:rsidRPr="006F29DE" w:rsidRDefault="00275555" w:rsidP="006F29DE">
            <w:pPr>
              <w:pStyle w:val="ListParagraph"/>
              <w:numPr>
                <w:ilvl w:val="0"/>
                <w:numId w:val="16"/>
              </w:numPr>
              <w:spacing w:before="240"/>
              <w:rPr>
                <w:b/>
                <w:bCs/>
              </w:rPr>
            </w:pPr>
            <w:r w:rsidRPr="006F29DE">
              <w:rPr>
                <w:b/>
                <w:bCs/>
              </w:rPr>
              <w:t xml:space="preserve">Annual Reports:  </w:t>
            </w:r>
            <w:r>
              <w:t>An annual financial report shall be prepared and presented at the Annual General Meeting (AGM).  This report shall include a summary of the year’s financial activities and the financial position of the organisation.</w:t>
            </w:r>
          </w:p>
          <w:p w14:paraId="111326ED" w14:textId="77777777" w:rsidR="006728B7" w:rsidRPr="006728B7" w:rsidRDefault="006728B7" w:rsidP="006728B7">
            <w:pPr>
              <w:rPr>
                <w:b/>
                <w:bCs/>
                <w:sz w:val="6"/>
                <w:szCs w:val="6"/>
              </w:rPr>
            </w:pPr>
          </w:p>
          <w:p w14:paraId="5E407A22" w14:textId="6721656E" w:rsidR="00A47A51" w:rsidRDefault="006728B7" w:rsidP="006F29DE">
            <w:pPr>
              <w:pStyle w:val="ListParagraph"/>
              <w:numPr>
                <w:ilvl w:val="0"/>
                <w:numId w:val="1"/>
              </w:numPr>
              <w:spacing w:before="240" w:after="240"/>
              <w:rPr>
                <w:b/>
              </w:rPr>
            </w:pPr>
            <w:r>
              <w:rPr>
                <w:b/>
              </w:rPr>
              <w:t>Handling Funds</w:t>
            </w:r>
          </w:p>
          <w:p w14:paraId="5B312A2A" w14:textId="77777777" w:rsidR="00A47A51" w:rsidRDefault="0058786F" w:rsidP="006F29DE">
            <w:pPr>
              <w:pStyle w:val="ListParagraph"/>
              <w:numPr>
                <w:ilvl w:val="0"/>
                <w:numId w:val="15"/>
              </w:numPr>
              <w:spacing w:before="240" w:after="240"/>
            </w:pPr>
            <w:r w:rsidRPr="006F29DE">
              <w:rPr>
                <w:b/>
                <w:bCs/>
              </w:rPr>
              <w:t>Receipts:</w:t>
            </w:r>
            <w:r>
              <w:t xml:space="preserve">  All income, including donations, grants, ticket sales, and other revenue, shall be promptly recorded and deposited into the organisations bank account.</w:t>
            </w:r>
          </w:p>
          <w:p w14:paraId="340FC7E7" w14:textId="77777777" w:rsidR="0052360A" w:rsidRDefault="0052360A" w:rsidP="006F29DE">
            <w:pPr>
              <w:pStyle w:val="ListParagraph"/>
              <w:numPr>
                <w:ilvl w:val="0"/>
                <w:numId w:val="15"/>
              </w:numPr>
              <w:spacing w:before="240" w:after="240"/>
            </w:pPr>
            <w:r w:rsidRPr="006F29DE">
              <w:rPr>
                <w:b/>
                <w:bCs/>
              </w:rPr>
              <w:t>Disbursements:</w:t>
            </w:r>
            <w:r>
              <w:t xml:space="preserve">  All expenses must be documented with receipts or invoices and approved by the Treasurer or another designated board member.  Payments shall be made by cheque or electronic transfer, and cash payments should be minimised.</w:t>
            </w:r>
          </w:p>
          <w:p w14:paraId="1B757EC2" w14:textId="1C8AE2B8" w:rsidR="0052360A" w:rsidRDefault="0052360A" w:rsidP="006F29DE">
            <w:pPr>
              <w:pStyle w:val="ListParagraph"/>
              <w:numPr>
                <w:ilvl w:val="0"/>
                <w:numId w:val="15"/>
              </w:numPr>
              <w:spacing w:before="240" w:after="240"/>
            </w:pPr>
            <w:r w:rsidRPr="006F29DE">
              <w:rPr>
                <w:b/>
                <w:bCs/>
              </w:rPr>
              <w:t>Petty Cash:</w:t>
            </w:r>
            <w:r>
              <w:t xml:space="preserve">  A petty cash fund may be maintained for minor expenses.  This fund shall be reconciled monthly, and all disbursements must be supported by receipts.</w:t>
            </w:r>
          </w:p>
          <w:p w14:paraId="4BAD7B9D" w14:textId="77777777" w:rsidR="0052360A" w:rsidRPr="0052360A" w:rsidRDefault="0052360A" w:rsidP="00270A24">
            <w:pPr>
              <w:spacing w:line="240" w:lineRule="auto"/>
              <w:rPr>
                <w:sz w:val="2"/>
                <w:szCs w:val="2"/>
              </w:rPr>
            </w:pPr>
          </w:p>
          <w:p w14:paraId="44E53E48" w14:textId="77777777" w:rsidR="0052360A" w:rsidRDefault="0052360A" w:rsidP="006F29DE">
            <w:pPr>
              <w:pStyle w:val="ListParagraph"/>
              <w:numPr>
                <w:ilvl w:val="0"/>
                <w:numId w:val="1"/>
              </w:numPr>
              <w:spacing w:before="240" w:after="240"/>
              <w:rPr>
                <w:b/>
                <w:bCs/>
              </w:rPr>
            </w:pPr>
            <w:r w:rsidRPr="0052360A">
              <w:rPr>
                <w:b/>
                <w:bCs/>
              </w:rPr>
              <w:t>Internal Controls:</w:t>
            </w:r>
          </w:p>
          <w:p w14:paraId="4B38E1AB" w14:textId="77777777" w:rsidR="006F29DE" w:rsidRDefault="006F29DE" w:rsidP="006F29DE">
            <w:pPr>
              <w:pStyle w:val="ListParagraph"/>
              <w:numPr>
                <w:ilvl w:val="0"/>
                <w:numId w:val="14"/>
              </w:numPr>
            </w:pPr>
            <w:r w:rsidRPr="006F29DE">
              <w:rPr>
                <w:b/>
                <w:bCs/>
              </w:rPr>
              <w:t>Segregation of Duties:</w:t>
            </w:r>
            <w:r>
              <w:t xml:space="preserve">  To prevent fraud and ensure accuracy, financial responsibilities shall be divided among different individuals.  For example, the person who approves expenses should not be the same person who writes the cheques.</w:t>
            </w:r>
          </w:p>
          <w:p w14:paraId="603633ED" w14:textId="77777777" w:rsidR="006F29DE" w:rsidRDefault="006F29DE" w:rsidP="006F29DE">
            <w:pPr>
              <w:pStyle w:val="ListParagraph"/>
              <w:numPr>
                <w:ilvl w:val="0"/>
                <w:numId w:val="14"/>
              </w:numPr>
            </w:pPr>
            <w:r w:rsidRPr="006F29DE">
              <w:rPr>
                <w:b/>
                <w:bCs/>
              </w:rPr>
              <w:lastRenderedPageBreak/>
              <w:t>Authorisation:</w:t>
            </w:r>
            <w:r>
              <w:t xml:space="preserve">  All financial transactions must be authorised to the appropriate individuals.  These individuals are the Treasurer and the Director.  Should the Director be unable to make an authorisation of transactions the co-Director may authorise.</w:t>
            </w:r>
          </w:p>
          <w:p w14:paraId="2735E1F2" w14:textId="77777777" w:rsidR="00E4396B" w:rsidRDefault="00E4396B" w:rsidP="00E4396B"/>
          <w:p w14:paraId="675E0040" w14:textId="7527E200" w:rsidR="005C7678" w:rsidRPr="00A54542" w:rsidRDefault="005C7678" w:rsidP="005C7678">
            <w:pPr>
              <w:pStyle w:val="ListParagraph"/>
              <w:numPr>
                <w:ilvl w:val="0"/>
                <w:numId w:val="1"/>
              </w:numPr>
              <w:spacing w:line="240" w:lineRule="auto"/>
              <w:rPr>
                <w:b/>
                <w:bCs/>
              </w:rPr>
            </w:pPr>
            <w:r w:rsidRPr="00A54542">
              <w:rPr>
                <w:b/>
                <w:bCs/>
              </w:rPr>
              <w:t>Audits:</w:t>
            </w:r>
          </w:p>
          <w:p w14:paraId="1C3C9090" w14:textId="77777777" w:rsidR="005C7678" w:rsidRDefault="005C7678" w:rsidP="005C7678">
            <w:pPr>
              <w:rPr>
                <w:sz w:val="20"/>
                <w:szCs w:val="20"/>
              </w:rPr>
            </w:pPr>
          </w:p>
          <w:p w14:paraId="5A829AB6" w14:textId="77777777" w:rsidR="005C7678" w:rsidRPr="005C7678" w:rsidRDefault="005C7678" w:rsidP="005C7678">
            <w:pPr>
              <w:pStyle w:val="ListParagraph"/>
              <w:numPr>
                <w:ilvl w:val="0"/>
                <w:numId w:val="20"/>
              </w:numPr>
              <w:spacing w:line="240" w:lineRule="auto"/>
            </w:pPr>
            <w:r w:rsidRPr="005C7678">
              <w:rPr>
                <w:b/>
                <w:bCs/>
              </w:rPr>
              <w:t>Internal Audits:</w:t>
            </w:r>
            <w:r w:rsidRPr="005C7678">
              <w:t xml:space="preserve">  The Financial Committee shall conduct internal audits periodically to review financial procedures and ensure compliance with this policy.</w:t>
            </w:r>
          </w:p>
          <w:p w14:paraId="5F760D02" w14:textId="77777777" w:rsidR="005C7678" w:rsidRDefault="005C7678" w:rsidP="005C7678">
            <w:pPr>
              <w:pStyle w:val="ListParagraph"/>
              <w:numPr>
                <w:ilvl w:val="0"/>
                <w:numId w:val="20"/>
              </w:numPr>
              <w:spacing w:line="240" w:lineRule="auto"/>
            </w:pPr>
            <w:r w:rsidRPr="005C7678">
              <w:rPr>
                <w:b/>
                <w:bCs/>
              </w:rPr>
              <w:t>External Audits:</w:t>
            </w:r>
            <w:r w:rsidRPr="005C7678">
              <w:t xml:space="preserve">  An independent auditor may be engaged to conduct an annual audit of the organisation’s financial statements.  The results of the audit shall be presented to the board of directors and made available to members at the AGM.</w:t>
            </w:r>
          </w:p>
          <w:p w14:paraId="0866AF10" w14:textId="77777777" w:rsidR="005C7678" w:rsidRDefault="005C7678" w:rsidP="005C7678">
            <w:pPr>
              <w:spacing w:line="240" w:lineRule="auto"/>
            </w:pPr>
          </w:p>
          <w:p w14:paraId="38799174" w14:textId="12D5182A" w:rsidR="005C7678" w:rsidRPr="00A54542" w:rsidRDefault="005C7678" w:rsidP="005C7678">
            <w:pPr>
              <w:pStyle w:val="ListParagraph"/>
              <w:numPr>
                <w:ilvl w:val="0"/>
                <w:numId w:val="1"/>
              </w:numPr>
              <w:spacing w:line="240" w:lineRule="auto"/>
              <w:rPr>
                <w:b/>
                <w:bCs/>
              </w:rPr>
            </w:pPr>
            <w:r w:rsidRPr="00A54542">
              <w:rPr>
                <w:b/>
                <w:bCs/>
              </w:rPr>
              <w:t>Fundraising and Grants:</w:t>
            </w:r>
          </w:p>
          <w:p w14:paraId="40B2A309" w14:textId="77777777" w:rsidR="005C7678" w:rsidRPr="005C7678" w:rsidRDefault="005C7678" w:rsidP="005C7678">
            <w:pPr>
              <w:spacing w:line="240" w:lineRule="auto"/>
            </w:pPr>
          </w:p>
          <w:p w14:paraId="146D2292" w14:textId="5D0E6682" w:rsidR="00A54542" w:rsidRDefault="00A54542" w:rsidP="00A54542">
            <w:pPr>
              <w:pStyle w:val="ListParagraph"/>
              <w:numPr>
                <w:ilvl w:val="0"/>
                <w:numId w:val="21"/>
              </w:numPr>
            </w:pPr>
            <w:r w:rsidRPr="00A54542">
              <w:rPr>
                <w:b/>
                <w:bCs/>
              </w:rPr>
              <w:t>Approval:</w:t>
            </w:r>
            <w:r>
              <w:t xml:space="preserve">  All fundraising activities and grant applications must be approved by the board of directors.</w:t>
            </w:r>
          </w:p>
          <w:p w14:paraId="207CF6E5" w14:textId="1035FBC3" w:rsidR="00E4396B" w:rsidRDefault="00A54542" w:rsidP="00A54542">
            <w:pPr>
              <w:pStyle w:val="ListParagraph"/>
              <w:numPr>
                <w:ilvl w:val="0"/>
                <w:numId w:val="21"/>
              </w:numPr>
            </w:pPr>
            <w:r w:rsidRPr="00A54542">
              <w:rPr>
                <w:b/>
                <w:bCs/>
              </w:rPr>
              <w:t>Compliance:</w:t>
            </w:r>
            <w:r>
              <w:t xml:space="preserve">  The organisation shall comply with all legal and regulatory requirements related to fundraising and grant management.</w:t>
            </w:r>
          </w:p>
          <w:p w14:paraId="7B0DCAD9" w14:textId="77777777" w:rsidR="00A54542" w:rsidRDefault="00A54542" w:rsidP="00A54542"/>
          <w:p w14:paraId="3F2765FD" w14:textId="4ED506CD" w:rsidR="00DD0317" w:rsidRPr="00DD0317" w:rsidRDefault="00DD0317" w:rsidP="00DD0317">
            <w:pPr>
              <w:pStyle w:val="ListParagraph"/>
              <w:numPr>
                <w:ilvl w:val="0"/>
                <w:numId w:val="1"/>
              </w:numPr>
              <w:spacing w:line="240" w:lineRule="auto"/>
              <w:rPr>
                <w:b/>
                <w:bCs/>
              </w:rPr>
            </w:pPr>
            <w:r w:rsidRPr="00DD0317">
              <w:rPr>
                <w:b/>
                <w:bCs/>
              </w:rPr>
              <w:t>Conflict of Interest:</w:t>
            </w:r>
          </w:p>
          <w:p w14:paraId="65806910" w14:textId="77777777" w:rsidR="00DD0317" w:rsidRPr="00DD0317" w:rsidRDefault="00DD0317" w:rsidP="00DD0317"/>
          <w:p w14:paraId="0A4B669A" w14:textId="77777777" w:rsidR="00DD0317" w:rsidRPr="00DD0317" w:rsidRDefault="00DD0317" w:rsidP="00DD0317">
            <w:pPr>
              <w:pStyle w:val="ListParagraph"/>
              <w:numPr>
                <w:ilvl w:val="0"/>
                <w:numId w:val="22"/>
              </w:numPr>
              <w:spacing w:line="240" w:lineRule="auto"/>
            </w:pPr>
            <w:r w:rsidRPr="00DD0317">
              <w:rPr>
                <w:b/>
                <w:bCs/>
              </w:rPr>
              <w:t>Disclosure:</w:t>
            </w:r>
            <w:r w:rsidRPr="00DD0317">
              <w:t xml:space="preserve">  Board members, volunteers, and participants must disclose any potential conflicts of interest related to financial transactions.</w:t>
            </w:r>
          </w:p>
          <w:p w14:paraId="09ABE8FB" w14:textId="77777777" w:rsidR="00DD0317" w:rsidRPr="00DD0317" w:rsidRDefault="00DD0317" w:rsidP="00DD0317">
            <w:pPr>
              <w:pStyle w:val="ListParagraph"/>
              <w:numPr>
                <w:ilvl w:val="0"/>
                <w:numId w:val="22"/>
              </w:numPr>
              <w:spacing w:line="240" w:lineRule="auto"/>
            </w:pPr>
            <w:r w:rsidRPr="00DD0317">
              <w:rPr>
                <w:b/>
                <w:bCs/>
              </w:rPr>
              <w:t>Avoidance:</w:t>
            </w:r>
            <w:r w:rsidRPr="00DD0317">
              <w:t xml:space="preserve">  Individuals with conflict of interest shall not participate in decisions related to the transaction in question.</w:t>
            </w:r>
          </w:p>
          <w:p w14:paraId="2315A027" w14:textId="77777777" w:rsidR="00DD0317" w:rsidRPr="00DD0317" w:rsidRDefault="00DD0317" w:rsidP="00DD0317"/>
          <w:p w14:paraId="0FADD023" w14:textId="77777777" w:rsidR="00DD0317" w:rsidRPr="00DD0317" w:rsidRDefault="00DD0317" w:rsidP="00DD0317">
            <w:pPr>
              <w:pStyle w:val="ListParagraph"/>
              <w:numPr>
                <w:ilvl w:val="0"/>
                <w:numId w:val="1"/>
              </w:numPr>
              <w:spacing w:line="240" w:lineRule="auto"/>
              <w:rPr>
                <w:b/>
                <w:bCs/>
              </w:rPr>
            </w:pPr>
            <w:r w:rsidRPr="00DD0317">
              <w:rPr>
                <w:b/>
                <w:bCs/>
              </w:rPr>
              <w:t>Financial Reserves:</w:t>
            </w:r>
          </w:p>
          <w:p w14:paraId="1A168BA2" w14:textId="77777777" w:rsidR="00DD0317" w:rsidRPr="00DD0317" w:rsidRDefault="00DD0317" w:rsidP="00DD0317"/>
          <w:p w14:paraId="6DF7932D" w14:textId="77777777" w:rsidR="00DD0317" w:rsidRPr="00DD0317" w:rsidRDefault="00DD0317" w:rsidP="00DD0317">
            <w:pPr>
              <w:pStyle w:val="ListParagraph"/>
              <w:numPr>
                <w:ilvl w:val="0"/>
                <w:numId w:val="23"/>
              </w:numPr>
              <w:spacing w:line="240" w:lineRule="auto"/>
            </w:pPr>
            <w:r w:rsidRPr="00DD0317">
              <w:t>Inverkeithing Encore shall maintain a financial reserve to cover unexpected expenses and ensure financial stability.  The target amount for the reserve fund shall be determined by the board.</w:t>
            </w:r>
          </w:p>
          <w:p w14:paraId="4DD61092" w14:textId="77777777" w:rsidR="00DD0317" w:rsidRPr="00DD0317" w:rsidRDefault="00DD0317" w:rsidP="00DD0317"/>
          <w:p w14:paraId="2846882F" w14:textId="77777777" w:rsidR="00DD0317" w:rsidRPr="00DD0317" w:rsidRDefault="00DD0317" w:rsidP="00DD0317">
            <w:pPr>
              <w:rPr>
                <w:b/>
                <w:bCs/>
              </w:rPr>
            </w:pPr>
            <w:r w:rsidRPr="00DD0317">
              <w:rPr>
                <w:b/>
                <w:bCs/>
              </w:rPr>
              <w:t>Review:</w:t>
            </w:r>
          </w:p>
          <w:p w14:paraId="34E33011" w14:textId="77777777" w:rsidR="00DD0317" w:rsidRPr="00DD0317" w:rsidRDefault="00DD0317" w:rsidP="00DD0317"/>
          <w:p w14:paraId="3D926404" w14:textId="7283AE9B" w:rsidR="006F29DE" w:rsidRPr="00DD0317" w:rsidRDefault="00DD0317" w:rsidP="00DD0317">
            <w:r w:rsidRPr="00DD0317">
              <w:t>This policy shall be reviewed annually by the Finance Committee and approved by the board to ensure its effectiveness and compliance with current laws and best practices.</w:t>
            </w:r>
          </w:p>
        </w:tc>
      </w:tr>
      <w:tr w:rsidR="00A47A51" w14:paraId="135E1C7E" w14:textId="77777777" w:rsidTr="00824D30">
        <w:trPr>
          <w:trHeight w:val="420"/>
        </w:trPr>
        <w:tc>
          <w:tcPr>
            <w:tcW w:w="10065" w:type="dxa"/>
            <w:vMerge/>
            <w:shd w:val="clear" w:color="auto" w:fill="auto"/>
            <w:tcMar>
              <w:top w:w="100" w:type="dxa"/>
              <w:left w:w="100" w:type="dxa"/>
              <w:bottom w:w="100" w:type="dxa"/>
              <w:right w:w="100" w:type="dxa"/>
            </w:tcMar>
          </w:tcPr>
          <w:p w14:paraId="74198DB4" w14:textId="77777777" w:rsidR="00A47A51" w:rsidRDefault="00A47A51">
            <w:pPr>
              <w:spacing w:line="240" w:lineRule="auto"/>
            </w:pPr>
          </w:p>
        </w:tc>
      </w:tr>
      <w:tr w:rsidR="00A47A51" w14:paraId="3A687879" w14:textId="77777777" w:rsidTr="00824D30">
        <w:trPr>
          <w:trHeight w:val="420"/>
        </w:trPr>
        <w:tc>
          <w:tcPr>
            <w:tcW w:w="10065" w:type="dxa"/>
            <w:vMerge/>
            <w:shd w:val="clear" w:color="auto" w:fill="auto"/>
            <w:tcMar>
              <w:top w:w="100" w:type="dxa"/>
              <w:left w:w="100" w:type="dxa"/>
              <w:bottom w:w="100" w:type="dxa"/>
              <w:right w:w="100" w:type="dxa"/>
            </w:tcMar>
          </w:tcPr>
          <w:p w14:paraId="1C77C90B" w14:textId="77777777" w:rsidR="00A47A51" w:rsidRDefault="00A47A51">
            <w:pPr>
              <w:spacing w:line="240" w:lineRule="auto"/>
            </w:pPr>
          </w:p>
        </w:tc>
      </w:tr>
      <w:tr w:rsidR="00A47A51" w14:paraId="123E96F1" w14:textId="77777777" w:rsidTr="00824D30">
        <w:trPr>
          <w:trHeight w:val="420"/>
        </w:trPr>
        <w:tc>
          <w:tcPr>
            <w:tcW w:w="10065" w:type="dxa"/>
            <w:vMerge/>
            <w:shd w:val="clear" w:color="auto" w:fill="auto"/>
            <w:tcMar>
              <w:top w:w="100" w:type="dxa"/>
              <w:left w:w="100" w:type="dxa"/>
              <w:bottom w:w="100" w:type="dxa"/>
              <w:right w:w="100" w:type="dxa"/>
            </w:tcMar>
          </w:tcPr>
          <w:p w14:paraId="54E28CC0" w14:textId="77777777" w:rsidR="00A47A51" w:rsidRDefault="00A47A51">
            <w:pPr>
              <w:spacing w:line="240" w:lineRule="auto"/>
            </w:pPr>
          </w:p>
        </w:tc>
      </w:tr>
    </w:tbl>
    <w:p w14:paraId="30CB1C0D" w14:textId="2944F9F2" w:rsidR="0052360A" w:rsidRDefault="0052360A" w:rsidP="006F29DE"/>
    <w:sectPr w:rsidR="0052360A">
      <w:headerReference w:type="even" r:id="rId8"/>
      <w:headerReference w:type="default" r:id="rId9"/>
      <w:headerReference w:type="firs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CB0A" w14:textId="77777777" w:rsidR="005C6BC8" w:rsidRDefault="005C6BC8">
      <w:pPr>
        <w:spacing w:line="240" w:lineRule="auto"/>
      </w:pPr>
      <w:r>
        <w:separator/>
      </w:r>
    </w:p>
  </w:endnote>
  <w:endnote w:type="continuationSeparator" w:id="0">
    <w:p w14:paraId="2A5CCCED" w14:textId="77777777" w:rsidR="005C6BC8" w:rsidRDefault="005C6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913B" w14:textId="77777777" w:rsidR="005C6BC8" w:rsidRDefault="005C6BC8">
      <w:pPr>
        <w:spacing w:line="240" w:lineRule="auto"/>
      </w:pPr>
      <w:r>
        <w:separator/>
      </w:r>
    </w:p>
  </w:footnote>
  <w:footnote w:type="continuationSeparator" w:id="0">
    <w:p w14:paraId="3147445D" w14:textId="77777777" w:rsidR="005C6BC8" w:rsidRDefault="005C6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EFF9" w14:textId="0404E2F3" w:rsidR="00C604CE" w:rsidRDefault="00C604CE">
    <w:pPr>
      <w:pStyle w:val="Header"/>
    </w:pPr>
    <w:r>
      <w:rPr>
        <w:noProof/>
      </w:rPr>
      <mc:AlternateContent>
        <mc:Choice Requires="wps">
          <w:drawing>
            <wp:anchor distT="0" distB="0" distL="0" distR="0" simplePos="0" relativeHeight="251659264" behindDoc="0" locked="0" layoutInCell="1" allowOverlap="1" wp14:anchorId="4A834251" wp14:editId="29DA0245">
              <wp:simplePos x="635" y="635"/>
              <wp:positionH relativeFrom="page">
                <wp:align>center</wp:align>
              </wp:positionH>
              <wp:positionV relativeFrom="page">
                <wp:align>top</wp:align>
              </wp:positionV>
              <wp:extent cx="459740" cy="368935"/>
              <wp:effectExtent l="0" t="0" r="16510" b="12065"/>
              <wp:wrapNone/>
              <wp:docPr id="4701778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34251"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1F6746F6" w14:textId="581A194B"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FBA1" w14:textId="35B843BF" w:rsidR="00A47A51" w:rsidRDefault="00C604CE">
    <w:r>
      <w:rPr>
        <w:noProof/>
      </w:rPr>
      <mc:AlternateContent>
        <mc:Choice Requires="wps">
          <w:drawing>
            <wp:anchor distT="0" distB="0" distL="0" distR="0" simplePos="0" relativeHeight="251660288" behindDoc="0" locked="0" layoutInCell="1" allowOverlap="1" wp14:anchorId="37A67846" wp14:editId="61C95823">
              <wp:simplePos x="914400" y="457200"/>
              <wp:positionH relativeFrom="page">
                <wp:align>center</wp:align>
              </wp:positionH>
              <wp:positionV relativeFrom="page">
                <wp:align>top</wp:align>
              </wp:positionV>
              <wp:extent cx="459740" cy="368935"/>
              <wp:effectExtent l="0" t="0" r="16510" b="12065"/>
              <wp:wrapNone/>
              <wp:docPr id="12609504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67846"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1B0ACE41" w14:textId="08975DB9"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r w:rsidR="00997E76">
      <w:t xml:space="preserve">Inverkeithing Encore (SC054161) </w:t>
    </w:r>
    <w:r w:rsidR="00020CCE">
      <w:t>Financial</w:t>
    </w:r>
    <w:r w:rsidR="00997E76">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347D" w14:textId="1C307826" w:rsidR="00C604CE" w:rsidRDefault="00C604CE">
    <w:pPr>
      <w:pStyle w:val="Header"/>
    </w:pPr>
    <w:r>
      <w:rPr>
        <w:noProof/>
      </w:rPr>
      <mc:AlternateContent>
        <mc:Choice Requires="wps">
          <w:drawing>
            <wp:anchor distT="0" distB="0" distL="0" distR="0" simplePos="0" relativeHeight="251658240" behindDoc="0" locked="0" layoutInCell="1" allowOverlap="1" wp14:anchorId="0A7E1077" wp14:editId="5320D738">
              <wp:simplePos x="635" y="635"/>
              <wp:positionH relativeFrom="page">
                <wp:align>center</wp:align>
              </wp:positionH>
              <wp:positionV relativeFrom="page">
                <wp:align>top</wp:align>
              </wp:positionV>
              <wp:extent cx="459740" cy="368935"/>
              <wp:effectExtent l="0" t="0" r="16510" b="12065"/>
              <wp:wrapNone/>
              <wp:docPr id="4638216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E1077"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672BA1EA" w14:textId="0FEF6CF2" w:rsidR="00C604CE" w:rsidRPr="00C604CE" w:rsidRDefault="00C604CE" w:rsidP="00C604CE">
                    <w:pPr>
                      <w:rPr>
                        <w:rFonts w:ascii="Calibri" w:eastAsia="Calibri" w:hAnsi="Calibri" w:cs="Calibri"/>
                        <w:noProof/>
                        <w:color w:val="000000"/>
                        <w:sz w:val="20"/>
                        <w:szCs w:val="20"/>
                      </w:rPr>
                    </w:pPr>
                    <w:r w:rsidRPr="00C604CE">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55F5"/>
    <w:multiLevelType w:val="hybridMultilevel"/>
    <w:tmpl w:val="B54A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731ED"/>
    <w:multiLevelType w:val="hybridMultilevel"/>
    <w:tmpl w:val="1704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2633E"/>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8064B1"/>
    <w:multiLevelType w:val="multilevel"/>
    <w:tmpl w:val="3B827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182288"/>
    <w:multiLevelType w:val="hybridMultilevel"/>
    <w:tmpl w:val="CBB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30DA1"/>
    <w:multiLevelType w:val="hybridMultilevel"/>
    <w:tmpl w:val="14A2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00C86"/>
    <w:multiLevelType w:val="hybridMultilevel"/>
    <w:tmpl w:val="3BBA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6E30"/>
    <w:multiLevelType w:val="hybridMultilevel"/>
    <w:tmpl w:val="0B90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55A9C"/>
    <w:multiLevelType w:val="hybridMultilevel"/>
    <w:tmpl w:val="D86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F4C4F"/>
    <w:multiLevelType w:val="hybridMultilevel"/>
    <w:tmpl w:val="67AA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653A0"/>
    <w:multiLevelType w:val="hybridMultilevel"/>
    <w:tmpl w:val="B8C26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910951"/>
    <w:multiLevelType w:val="hybridMultilevel"/>
    <w:tmpl w:val="361A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71F62"/>
    <w:multiLevelType w:val="hybridMultilevel"/>
    <w:tmpl w:val="73C82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932AFC"/>
    <w:multiLevelType w:val="hybridMultilevel"/>
    <w:tmpl w:val="8172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F59AA"/>
    <w:multiLevelType w:val="multilevel"/>
    <w:tmpl w:val="0EE832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190477B"/>
    <w:multiLevelType w:val="hybridMultilevel"/>
    <w:tmpl w:val="14A6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E5C71"/>
    <w:multiLevelType w:val="hybridMultilevel"/>
    <w:tmpl w:val="3098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01CB4"/>
    <w:multiLevelType w:val="hybridMultilevel"/>
    <w:tmpl w:val="AE32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5184B"/>
    <w:multiLevelType w:val="hybridMultilevel"/>
    <w:tmpl w:val="50121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5D2465"/>
    <w:multiLevelType w:val="hybridMultilevel"/>
    <w:tmpl w:val="5920A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CB1203"/>
    <w:multiLevelType w:val="hybridMultilevel"/>
    <w:tmpl w:val="5B3A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884158"/>
    <w:multiLevelType w:val="hybridMultilevel"/>
    <w:tmpl w:val="3CBAF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A94C3D"/>
    <w:multiLevelType w:val="hybridMultilevel"/>
    <w:tmpl w:val="08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789505">
    <w:abstractNumId w:val="3"/>
  </w:num>
  <w:num w:numId="2" w16cid:durableId="1474374657">
    <w:abstractNumId w:val="14"/>
  </w:num>
  <w:num w:numId="3" w16cid:durableId="326248927">
    <w:abstractNumId w:val="2"/>
  </w:num>
  <w:num w:numId="4" w16cid:durableId="1338801516">
    <w:abstractNumId w:val="19"/>
  </w:num>
  <w:num w:numId="5" w16cid:durableId="821194677">
    <w:abstractNumId w:val="10"/>
  </w:num>
  <w:num w:numId="6" w16cid:durableId="298998043">
    <w:abstractNumId w:val="12"/>
  </w:num>
  <w:num w:numId="7" w16cid:durableId="1383865231">
    <w:abstractNumId w:val="18"/>
  </w:num>
  <w:num w:numId="8" w16cid:durableId="1708218983">
    <w:abstractNumId w:val="21"/>
  </w:num>
  <w:num w:numId="9" w16cid:durableId="1909068432">
    <w:abstractNumId w:val="16"/>
  </w:num>
  <w:num w:numId="10" w16cid:durableId="162627199">
    <w:abstractNumId w:val="5"/>
  </w:num>
  <w:num w:numId="11" w16cid:durableId="172914891">
    <w:abstractNumId w:val="20"/>
  </w:num>
  <w:num w:numId="12" w16cid:durableId="1703044653">
    <w:abstractNumId w:val="7"/>
  </w:num>
  <w:num w:numId="13" w16cid:durableId="456219341">
    <w:abstractNumId w:val="8"/>
  </w:num>
  <w:num w:numId="14" w16cid:durableId="1764834107">
    <w:abstractNumId w:val="0"/>
  </w:num>
  <w:num w:numId="15" w16cid:durableId="2008552850">
    <w:abstractNumId w:val="13"/>
  </w:num>
  <w:num w:numId="16" w16cid:durableId="1162771423">
    <w:abstractNumId w:val="17"/>
  </w:num>
  <w:num w:numId="17" w16cid:durableId="1372613603">
    <w:abstractNumId w:val="11"/>
  </w:num>
  <w:num w:numId="18" w16cid:durableId="1666322046">
    <w:abstractNumId w:val="9"/>
  </w:num>
  <w:num w:numId="19" w16cid:durableId="2146967423">
    <w:abstractNumId w:val="1"/>
  </w:num>
  <w:num w:numId="20" w16cid:durableId="2114594177">
    <w:abstractNumId w:val="22"/>
  </w:num>
  <w:num w:numId="21" w16cid:durableId="1119031328">
    <w:abstractNumId w:val="15"/>
  </w:num>
  <w:num w:numId="22" w16cid:durableId="1780445312">
    <w:abstractNumId w:val="6"/>
  </w:num>
  <w:num w:numId="23" w16cid:durableId="199710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1"/>
    <w:rsid w:val="00020CCE"/>
    <w:rsid w:val="00061DB5"/>
    <w:rsid w:val="00270A24"/>
    <w:rsid w:val="00275555"/>
    <w:rsid w:val="00310992"/>
    <w:rsid w:val="0052360A"/>
    <w:rsid w:val="0058786F"/>
    <w:rsid w:val="005C6BC8"/>
    <w:rsid w:val="005C7678"/>
    <w:rsid w:val="0060532E"/>
    <w:rsid w:val="006728B7"/>
    <w:rsid w:val="006771A6"/>
    <w:rsid w:val="006F29DE"/>
    <w:rsid w:val="00824D30"/>
    <w:rsid w:val="00886C8F"/>
    <w:rsid w:val="00997E76"/>
    <w:rsid w:val="009A5337"/>
    <w:rsid w:val="00A47A51"/>
    <w:rsid w:val="00A54542"/>
    <w:rsid w:val="00C604CE"/>
    <w:rsid w:val="00DD0317"/>
    <w:rsid w:val="00E43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62F2"/>
  <w15:docId w15:val="{F5457171-93A6-40DD-B1AF-C173438A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604CE"/>
    <w:pPr>
      <w:ind w:left="720"/>
      <w:contextualSpacing/>
    </w:pPr>
  </w:style>
  <w:style w:type="paragraph" w:styleId="Header">
    <w:name w:val="header"/>
    <w:basedOn w:val="Normal"/>
    <w:link w:val="HeaderChar"/>
    <w:uiPriority w:val="99"/>
    <w:unhideWhenUsed/>
    <w:rsid w:val="00C604CE"/>
    <w:pPr>
      <w:tabs>
        <w:tab w:val="center" w:pos="4513"/>
        <w:tab w:val="right" w:pos="9026"/>
      </w:tabs>
      <w:spacing w:line="240" w:lineRule="auto"/>
    </w:pPr>
  </w:style>
  <w:style w:type="character" w:customStyle="1" w:styleId="HeaderChar">
    <w:name w:val="Header Char"/>
    <w:basedOn w:val="DefaultParagraphFont"/>
    <w:link w:val="Header"/>
    <w:uiPriority w:val="99"/>
    <w:rsid w:val="00C604CE"/>
  </w:style>
  <w:style w:type="paragraph" w:styleId="Footer">
    <w:name w:val="footer"/>
    <w:basedOn w:val="Normal"/>
    <w:link w:val="FooterChar"/>
    <w:uiPriority w:val="99"/>
    <w:unhideWhenUsed/>
    <w:rsid w:val="00020CCE"/>
    <w:pPr>
      <w:tabs>
        <w:tab w:val="center" w:pos="4513"/>
        <w:tab w:val="right" w:pos="9026"/>
      </w:tabs>
      <w:spacing w:line="240" w:lineRule="auto"/>
    </w:pPr>
  </w:style>
  <w:style w:type="character" w:customStyle="1" w:styleId="FooterChar">
    <w:name w:val="Footer Char"/>
    <w:basedOn w:val="DefaultParagraphFont"/>
    <w:link w:val="Footer"/>
    <w:uiPriority w:val="99"/>
    <w:rsid w:val="0002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Dolan</dc:creator>
  <cp:lastModifiedBy>Paula Dolan</cp:lastModifiedBy>
  <cp:revision>17</cp:revision>
  <dcterms:created xsi:type="dcterms:W3CDTF">2025-04-28T08:04:00Z</dcterms:created>
  <dcterms:modified xsi:type="dcterms:W3CDTF">2025-04-28T08:25:00Z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1ba55b53,1c06580b,4b2893e1</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2025-04-28T07:57:35Z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c0e89d93-4f03-4d80-a87a-7fad450bea47</vt:lpwstr>
  </property>
  <property fmtid="{D5CDD505-2E9C-101B-9397-08002B2CF9AE}" pid="11" name="MSIP_Label_8577031b-11bc-4db9-b655-7d79027ad570_ContentBits">
    <vt:lpwstr>1</vt:lpwstr>
  </property>
  <property fmtid="{D5CDD505-2E9C-101B-9397-08002B2CF9AE}" pid="12" name="MSIP_Label_8577031b-11bc-4db9-b655-7d79027ad570_Tag">
    <vt:lpwstr>10, 3, 0, 1</vt:lpwstr>
  </property>
</Properties>
</file>